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1" w:rsidRPr="003B2111" w:rsidRDefault="003B2111" w:rsidP="003B2111">
      <w:pPr>
        <w:spacing w:after="225" w:line="240" w:lineRule="auto"/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b/>
          <w:color w:val="222222"/>
          <w:sz w:val="24"/>
          <w:szCs w:val="24"/>
          <w:lang w:eastAsia="el-GR"/>
        </w:rPr>
        <w:t>ΕΦΑΠΑΞ ΕΙΔΙΚΟ ΒΟΗΘΗΜΑ ΓΙΑ ΤΗΝ ΕΠΑΝΑΣΥΝΔΕΣΗ ΡΕΥΜΑΤΟΣ</w:t>
      </w:r>
    </w:p>
    <w:p w:rsidR="003B211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Το Αυτοτελές Τμήμα Κοινωνικής Προστασίας, Παιδείας και Πολιτισμού διεκπεραιώνει τη διαδικασία παροχής εφάπαξ ειδικού βοηθήματος για την επανασύνδεση με το δίκτυο ηλεκτρικής ενέργειας καταναλωτών με χαμηλά εισοδήματα</w:t>
      </w:r>
      <w:r w:rsidR="007F462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, που υλοποιείται από το Υπουργείο Περιβάλλοντος και Ενέργειας σε συνεργασία </w:t>
      </w: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με το Υπουργείο Οικονομικών. </w:t>
      </w: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Η Επιτροπή που συστάθηκε στον Δήμο Ευρώτα </w:t>
      </w:r>
      <w:r w:rsidR="003B2111"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εξετάζ</w:t>
      </w: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ει</w:t>
      </w:r>
      <w:r w:rsidR="003B2111"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τα σχετικά αιτήματα, αξιολογ</w:t>
      </w: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εί</w:t>
      </w:r>
      <w:r w:rsidR="003B2111"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την πραγματική οικονομική και περιουσιακή κατάσταση των αιτούντων και </w:t>
      </w:r>
      <w:r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αποφασίζει τη χορήγηση ή μη του ειδικού βοηθήματος</w:t>
      </w:r>
      <w:r w:rsidR="003B2111"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. </w:t>
      </w:r>
    </w:p>
    <w:p w:rsidR="003B2111" w:rsidRPr="003B211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Τα κριτήρια που πρέπει να πληρούνται είναι:</w:t>
      </w:r>
    </w:p>
    <w:p w:rsidR="003B2111" w:rsidRPr="003B2111" w:rsidRDefault="003B2111" w:rsidP="003B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 αποσύνδεση από το δίκτυο να έχει συμβεί στο παρελθόν (πριν την ενεργοποίηση της ΚΥΑ)</w:t>
      </w:r>
    </w:p>
    <w:p w:rsidR="003B2111" w:rsidRPr="003B2111" w:rsidRDefault="003B2111" w:rsidP="003B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 αποσύνδεση να αφορά την κύρια κατοικία του προς εξέταση δικαιούχου</w:t>
      </w:r>
    </w:p>
    <w:p w:rsidR="003B2111" w:rsidRPr="003B2111" w:rsidRDefault="003B2111" w:rsidP="003B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να ικανοποιούνται τα κριτήρια υπαγωγής στο νέο Κοινωνικό Οικιακό Τιμολόγιο (βλέπε πίνακα)</w:t>
      </w:r>
    </w:p>
    <w:p w:rsidR="003B211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Για οφειλές έως 6.000 ευρώ καλύπτεται το πλήρες ποσό, για οφειλές 6.001-9.000 ευρώ το 75%, για οφειλές 9.0001-12.000 ευρώ το 50% και για οφειλές άνω των 12.000 ευρώ το 30%. </w:t>
      </w:r>
      <w:r w:rsidR="007F462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Ο</w:t>
      </w: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ΔΕΔΔΗΕ (ο οποίος έχει οριστεί διαχειριστής του ειδικού λογαριασμού 10 εκατ. ευρώ που συστάθηκε για τον σκοπό αυτό) θα καταβάλλει το ειδικό βοήθημα απευθείας στον προμηθευτή ηλεκτρικής ενέργειας</w:t>
      </w:r>
      <w:r w:rsidR="007F462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,</w:t>
      </w: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όπου εκκρεμούν οι οφειλές. Στη συνέχεια </w:t>
      </w:r>
      <w:r w:rsidR="007F462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προχωρά</w:t>
      </w: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</w:t>
      </w:r>
      <w:r w:rsidR="007F462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σ</w:t>
      </w: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την επανασύνδεση, χωρίς να χρεώνει τα σχετικά τέλη. Το μέρος της οφειλής που δεν θα καλυφθεί, θα εξοφλείται από τους καταναλωτές σε άτοκες μηνιαίες δόσεις, ο αριθμός των οποίων θα ορίζεται από τον εκάστοτε προμηθευτή ηλεκτρικής ενέργειας.</w:t>
      </w: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p w:rsidR="007F4621" w:rsidRPr="003B2111" w:rsidRDefault="007F462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</w:p>
    <w:tbl>
      <w:tblPr>
        <w:tblW w:w="6690" w:type="dxa"/>
        <w:jc w:val="center"/>
        <w:tblBorders>
          <w:top w:val="outset" w:sz="6" w:space="0" w:color="3399CC"/>
          <w:left w:val="outset" w:sz="6" w:space="0" w:color="3399CC"/>
          <w:bottom w:val="outset" w:sz="6" w:space="0" w:color="3399CC"/>
          <w:right w:val="outset" w:sz="6" w:space="0" w:color="3399CC"/>
        </w:tblBorders>
        <w:tblCellMar>
          <w:left w:w="0" w:type="dxa"/>
          <w:right w:w="0" w:type="dxa"/>
        </w:tblCellMar>
        <w:tblLook w:val="04A0"/>
      </w:tblPr>
      <w:tblGrid>
        <w:gridCol w:w="2499"/>
        <w:gridCol w:w="2014"/>
        <w:gridCol w:w="2177"/>
      </w:tblGrid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shd w:val="clear" w:color="auto" w:fill="EAF5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  <w:lastRenderedPageBreak/>
              <w:t>οικογενειακή κατάσταση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shd w:val="clear" w:color="auto" w:fill="EAF5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  <w:t>ετήσιο εισόδημα νοικοκυριού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shd w:val="clear" w:color="auto" w:fill="EAF5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el-GR"/>
              </w:rPr>
              <w:t>όριο κατανάλωσης τετραμήνου</w:t>
            </w:r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1 άτομο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9.000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1.400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7F4621" w:rsidP="007F462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μονογονεϊκή</w:t>
            </w:r>
            <w:r w:rsidR="003B2111"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+1 ανήλικος ή 2 ενήλικοι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13.500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1.600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7F4621" w:rsidP="007F462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Μ</w:t>
            </w:r>
            <w:r w:rsidR="003B2111"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ονογονεϊκή+2 ανήλικοι ή 2 ενήλικοι + 1 ανήλικος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15.750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1.700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μονογονεϊκή+3 ανήλικοι ή 2 ενήλικοι + 2 ανήλικοι</w:t>
            </w:r>
          </w:p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ή 3 ενήλικοί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18.000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1.800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μονογονεϊκή+4 ανήλικοι ή 2 ενήλικοι + 3 ανήλικοι</w:t>
            </w:r>
          </w:p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ή 3 ενήλικοί + 1 ανήλικος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24.750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1.900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  <w:tr w:rsidR="003B2111" w:rsidRPr="003B2111" w:rsidTr="003B2111">
        <w:trPr>
          <w:jc w:val="center"/>
        </w:trPr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μονογονεϊκή+5 ανήλικοι ή 2 ενήλικοι + 4 ανήλικοι</w:t>
            </w:r>
          </w:p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ή 3 ενήλικοί + 2 </w:t>
            </w: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lastRenderedPageBreak/>
              <w:t>ανήλικος ή 4 ενήλικοι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3399CC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lastRenderedPageBreak/>
              <w:t>27.000 ευρώ</w:t>
            </w:r>
          </w:p>
        </w:tc>
        <w:tc>
          <w:tcPr>
            <w:tcW w:w="0" w:type="auto"/>
            <w:tcBorders>
              <w:top w:val="outset" w:sz="6" w:space="0" w:color="3399CC"/>
              <w:left w:val="outset" w:sz="6" w:space="0" w:color="3399CC"/>
              <w:bottom w:val="outset" w:sz="6" w:space="0" w:color="3399CC"/>
              <w:right w:val="outset" w:sz="6" w:space="0" w:color="auto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3B2111" w:rsidRPr="003B2111" w:rsidRDefault="003B2111" w:rsidP="003B2111">
            <w:pPr>
              <w:spacing w:before="100" w:beforeAutospacing="1" w:after="750" w:line="240" w:lineRule="auto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</w:pPr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 xml:space="preserve">2.000 </w:t>
            </w:r>
            <w:proofErr w:type="spellStart"/>
            <w:r w:rsidRPr="003B211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l-GR"/>
              </w:rPr>
              <w:t>kWh</w:t>
            </w:r>
            <w:proofErr w:type="spellEnd"/>
          </w:p>
        </w:tc>
      </w:tr>
    </w:tbl>
    <w:p w:rsidR="003B2111" w:rsidRPr="003B211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lastRenderedPageBreak/>
        <w:t> </w:t>
      </w:r>
    </w:p>
    <w:p w:rsidR="003B2111" w:rsidRPr="003B2111" w:rsidRDefault="003B2111" w:rsidP="003B2111">
      <w:pPr>
        <w:spacing w:after="225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el-GR"/>
        </w:rPr>
      </w:pPr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Τα παραπάνω όρια υπαγωγής στο νέο Κοινωνικό Οικιακό Τιμολόγιο, προσαυξάνονται κατά 8.000 ευρώ εφόσον στο νοικοκυριό περιλαμβάνεται άτομο με αναπηρία τουλάχιστον 67% και κατά 15.000 ευρώ εφόσον περιλαμβάνεται άτομο με ανάγκη μηχανικής υποστήριξης. Επιπλέον, τα όρια της επιδοτούμενης κατανάλωσης αυξάνονται κατά 300 </w:t>
      </w:r>
      <w:proofErr w:type="spellStart"/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kWh</w:t>
      </w:r>
      <w:proofErr w:type="spellEnd"/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για άτομα με αναπηρία 67% και άνω και κατά 600 </w:t>
      </w:r>
      <w:proofErr w:type="spellStart"/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>kWh</w:t>
      </w:r>
      <w:proofErr w:type="spellEnd"/>
      <w:r w:rsidRPr="003B2111">
        <w:rPr>
          <w:rFonts w:ascii="Tahoma" w:eastAsia="Times New Roman" w:hAnsi="Tahoma" w:cs="Tahoma"/>
          <w:color w:val="222222"/>
          <w:sz w:val="24"/>
          <w:szCs w:val="24"/>
          <w:lang w:eastAsia="el-GR"/>
        </w:rPr>
        <w:t xml:space="preserve"> για άτομα με ανάγκη μηχανικής υποστήριξης.</w:t>
      </w:r>
    </w:p>
    <w:p w:rsidR="007F29CA" w:rsidRPr="003B2111" w:rsidRDefault="007F29CA" w:rsidP="003B2111">
      <w:pPr>
        <w:jc w:val="both"/>
        <w:rPr>
          <w:rFonts w:ascii="Tahoma" w:hAnsi="Tahoma" w:cs="Tahoma"/>
        </w:rPr>
      </w:pPr>
    </w:p>
    <w:p w:rsidR="003B2111" w:rsidRPr="003B2111" w:rsidRDefault="003B2111">
      <w:pPr>
        <w:jc w:val="both"/>
        <w:rPr>
          <w:rFonts w:ascii="Tahoma" w:hAnsi="Tahoma" w:cs="Tahoma"/>
        </w:rPr>
      </w:pPr>
    </w:p>
    <w:sectPr w:rsidR="003B2111" w:rsidRPr="003B2111" w:rsidSect="007F29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3B39"/>
    <w:multiLevelType w:val="multilevel"/>
    <w:tmpl w:val="0C2E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111"/>
    <w:rsid w:val="003B2111"/>
    <w:rsid w:val="007F29CA"/>
    <w:rsid w:val="007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B2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2019-02-15T12:32:00Z</dcterms:created>
  <dcterms:modified xsi:type="dcterms:W3CDTF">2019-02-15T12:48:00Z</dcterms:modified>
</cp:coreProperties>
</file>